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EF0" w:rsidRDefault="00676988" w:rsidP="00676988">
      <w:pPr>
        <w:pStyle w:val="Default"/>
        <w:spacing w:before="60" w:after="60"/>
        <w:rPr>
          <w:sz w:val="22"/>
          <w:szCs w:val="22"/>
        </w:rPr>
      </w:pPr>
      <w:r>
        <w:rPr>
          <w:sz w:val="22"/>
          <w:szCs w:val="22"/>
        </w:rPr>
        <w:t xml:space="preserve">A repair station technician states, "During disassembly of this starter generator (P/N 23085-025) we received for routine overhaul, three items were noted that are not approved by the Goodrich 23085 Series, Revision 4, 8/12/2003, CMM 24-30-19 </w:t>
      </w:r>
      <w:r>
        <w:rPr>
          <w:i/>
          <w:iCs/>
          <w:sz w:val="22"/>
          <w:szCs w:val="22"/>
        </w:rPr>
        <w:t xml:space="preserve">(maintenance manual). </w:t>
      </w:r>
      <w:r>
        <w:rPr>
          <w:sz w:val="22"/>
          <w:szCs w:val="22"/>
        </w:rPr>
        <w:t>1. The stator was coated with Glyptol paint. The CMM states 'The use of Glyptol on either the armature or stator windings is strictly prohibited. Units having Glyptol coating on either of these parts must have these parts replaced prior to returning the units to service.' 2. Glyptol was also found coating the inside of the air-scoop. This is not approved by Goodrich SPD 1002. 3. The Anti-Drive End Bearing Liner had been staked in two places, presumably to hold the bearing in place. This is not an approved practice according to the CMM. The liner must either be replaced or re-plated if the dimensions are not within tolerances.</w:t>
      </w:r>
    </w:p>
    <w:p w:rsidR="00556D3B" w:rsidRDefault="00556D3B" w:rsidP="00676988">
      <w:pPr>
        <w:pStyle w:val="Default"/>
        <w:spacing w:before="60" w:after="60"/>
        <w:rPr>
          <w:sz w:val="22"/>
          <w:szCs w:val="22"/>
        </w:rPr>
      </w:pPr>
    </w:p>
    <w:p w:rsidR="00556D3B" w:rsidRDefault="00556D3B" w:rsidP="00676988">
      <w:pPr>
        <w:pStyle w:val="Default"/>
        <w:spacing w:before="60" w:after="60"/>
        <w:rPr>
          <w:sz w:val="22"/>
          <w:szCs w:val="22"/>
        </w:rPr>
      </w:pPr>
      <w:r>
        <w:rPr>
          <w:sz w:val="22"/>
          <w:szCs w:val="22"/>
        </w:rPr>
        <w:t xml:space="preserve">If the Goodrich CMM had been followed at the previous air repair facility, these items would not have been an issue.  </w:t>
      </w:r>
      <w:bookmarkStart w:id="0" w:name="_GoBack"/>
      <w:bookmarkEnd w:id="0"/>
    </w:p>
    <w:p w:rsidR="00676988" w:rsidRDefault="00676988" w:rsidP="00676988">
      <w:pPr>
        <w:pStyle w:val="Default"/>
        <w:spacing w:before="60" w:after="60"/>
        <w:rPr>
          <w:sz w:val="22"/>
          <w:szCs w:val="22"/>
        </w:rPr>
      </w:pPr>
    </w:p>
    <w:p w:rsidR="00676988" w:rsidRDefault="00676988" w:rsidP="00676988">
      <w:pPr>
        <w:pStyle w:val="Default"/>
        <w:spacing w:before="60" w:after="60"/>
        <w:rPr>
          <w:sz w:val="22"/>
          <w:szCs w:val="22"/>
        </w:rPr>
      </w:pPr>
    </w:p>
    <w:p w:rsidR="00676988" w:rsidRPr="00676988" w:rsidRDefault="00676988" w:rsidP="00676988">
      <w:pPr>
        <w:kinsoku w:val="0"/>
        <w:overflowPunct w:val="0"/>
        <w:autoSpaceDE w:val="0"/>
        <w:autoSpaceDN w:val="0"/>
        <w:adjustRightInd w:val="0"/>
        <w:spacing w:after="0" w:line="240" w:lineRule="auto"/>
        <w:ind w:left="102"/>
        <w:rPr>
          <w:rFonts w:ascii="Times New Roman" w:hAnsi="Times New Roman" w:cs="Times New Roman"/>
          <w:sz w:val="20"/>
          <w:szCs w:val="20"/>
        </w:rPr>
      </w:pPr>
      <w:r w:rsidRPr="00676988">
        <w:rPr>
          <w:rFonts w:ascii="Times New Roman" w:hAnsi="Times New Roman" w:cs="Times New Roman"/>
          <w:noProof/>
          <w:sz w:val="20"/>
          <w:szCs w:val="20"/>
        </w:rPr>
        <w:drawing>
          <wp:inline distT="0" distB="0" distL="0" distR="0">
            <wp:extent cx="5692140" cy="3421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3421380"/>
                    </a:xfrm>
                    <a:prstGeom prst="rect">
                      <a:avLst/>
                    </a:prstGeom>
                    <a:noFill/>
                    <a:ln>
                      <a:noFill/>
                    </a:ln>
                  </pic:spPr>
                </pic:pic>
              </a:graphicData>
            </a:graphic>
          </wp:inline>
        </w:drawing>
      </w:r>
    </w:p>
    <w:p w:rsidR="00676988" w:rsidRDefault="00676988" w:rsidP="00676988">
      <w:pPr>
        <w:pStyle w:val="Default"/>
        <w:spacing w:before="60" w:after="60"/>
        <w:rPr>
          <w:sz w:val="22"/>
          <w:szCs w:val="22"/>
        </w:rPr>
      </w:pPr>
    </w:p>
    <w:p w:rsidR="0007768A" w:rsidRDefault="0007768A" w:rsidP="00676988">
      <w:pPr>
        <w:pStyle w:val="Default"/>
        <w:spacing w:before="60" w:after="60"/>
        <w:rPr>
          <w:sz w:val="22"/>
          <w:szCs w:val="22"/>
        </w:rPr>
      </w:pPr>
    </w:p>
    <w:p w:rsidR="0007768A" w:rsidRDefault="0007768A" w:rsidP="00676988">
      <w:pPr>
        <w:pStyle w:val="Default"/>
        <w:spacing w:before="60" w:after="60"/>
        <w:rPr>
          <w:sz w:val="22"/>
          <w:szCs w:val="22"/>
        </w:rPr>
      </w:pPr>
    </w:p>
    <w:p w:rsidR="0007768A" w:rsidRPr="0007768A" w:rsidRDefault="0007768A" w:rsidP="0007768A">
      <w:pPr>
        <w:kinsoku w:val="0"/>
        <w:overflowPunct w:val="0"/>
        <w:autoSpaceDE w:val="0"/>
        <w:autoSpaceDN w:val="0"/>
        <w:adjustRightInd w:val="0"/>
        <w:spacing w:after="0" w:line="240" w:lineRule="auto"/>
        <w:ind w:left="102"/>
        <w:rPr>
          <w:rFonts w:ascii="Times New Roman" w:hAnsi="Times New Roman" w:cs="Times New Roman"/>
          <w:sz w:val="20"/>
          <w:szCs w:val="20"/>
        </w:rPr>
      </w:pPr>
      <w:r w:rsidRPr="0007768A">
        <w:rPr>
          <w:rFonts w:ascii="Times New Roman" w:hAnsi="Times New Roman" w:cs="Times New Roman"/>
          <w:noProof/>
          <w:sz w:val="20"/>
          <w:szCs w:val="20"/>
        </w:rPr>
        <w:lastRenderedPageBreak/>
        <w:drawing>
          <wp:inline distT="0" distB="0" distL="0" distR="0">
            <wp:extent cx="5814060" cy="4061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060" cy="4061460"/>
                    </a:xfrm>
                    <a:prstGeom prst="rect">
                      <a:avLst/>
                    </a:prstGeom>
                    <a:noFill/>
                    <a:ln>
                      <a:noFill/>
                    </a:ln>
                  </pic:spPr>
                </pic:pic>
              </a:graphicData>
            </a:graphic>
          </wp:inline>
        </w:drawing>
      </w:r>
    </w:p>
    <w:p w:rsidR="0007768A" w:rsidRDefault="0007768A" w:rsidP="00676988">
      <w:pPr>
        <w:pStyle w:val="Default"/>
        <w:spacing w:before="60" w:after="60"/>
        <w:rPr>
          <w:sz w:val="22"/>
          <w:szCs w:val="22"/>
        </w:rPr>
      </w:pPr>
    </w:p>
    <w:p w:rsidR="0007768A" w:rsidRDefault="0007768A" w:rsidP="00676988">
      <w:pPr>
        <w:pStyle w:val="Default"/>
        <w:spacing w:before="60" w:after="60"/>
        <w:rPr>
          <w:sz w:val="22"/>
          <w:szCs w:val="22"/>
        </w:rPr>
      </w:pPr>
    </w:p>
    <w:p w:rsidR="0007768A" w:rsidRPr="0007768A" w:rsidRDefault="0007768A" w:rsidP="0007768A">
      <w:pPr>
        <w:kinsoku w:val="0"/>
        <w:overflowPunct w:val="0"/>
        <w:autoSpaceDE w:val="0"/>
        <w:autoSpaceDN w:val="0"/>
        <w:adjustRightInd w:val="0"/>
        <w:spacing w:after="0" w:line="240" w:lineRule="auto"/>
        <w:ind w:left="102"/>
        <w:rPr>
          <w:rFonts w:ascii="Times New Roman" w:hAnsi="Times New Roman" w:cs="Times New Roman"/>
          <w:sz w:val="20"/>
          <w:szCs w:val="20"/>
        </w:rPr>
      </w:pPr>
      <w:r w:rsidRPr="0007768A">
        <w:rPr>
          <w:rFonts w:ascii="Times New Roman" w:hAnsi="Times New Roman" w:cs="Times New Roman"/>
          <w:noProof/>
          <w:sz w:val="20"/>
          <w:szCs w:val="20"/>
        </w:rPr>
        <w:lastRenderedPageBreak/>
        <w:drawing>
          <wp:inline distT="0" distB="0" distL="0" distR="0">
            <wp:extent cx="5791200" cy="4130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4130040"/>
                    </a:xfrm>
                    <a:prstGeom prst="rect">
                      <a:avLst/>
                    </a:prstGeom>
                    <a:noFill/>
                    <a:ln>
                      <a:noFill/>
                    </a:ln>
                  </pic:spPr>
                </pic:pic>
              </a:graphicData>
            </a:graphic>
          </wp:inline>
        </w:drawing>
      </w:r>
    </w:p>
    <w:p w:rsidR="0007768A" w:rsidRDefault="0007768A" w:rsidP="00676988">
      <w:pPr>
        <w:pStyle w:val="Default"/>
        <w:spacing w:before="60" w:after="60"/>
        <w:rPr>
          <w:sz w:val="22"/>
          <w:szCs w:val="22"/>
        </w:rPr>
      </w:pPr>
    </w:p>
    <w:sectPr w:rsidR="0007768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368" w:rsidRDefault="00552368" w:rsidP="009102D1">
      <w:pPr>
        <w:spacing w:after="0" w:line="240" w:lineRule="auto"/>
      </w:pPr>
      <w:r>
        <w:separator/>
      </w:r>
    </w:p>
  </w:endnote>
  <w:endnote w:type="continuationSeparator" w:id="0">
    <w:p w:rsidR="00552368" w:rsidRDefault="00552368" w:rsidP="0091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54730"/>
      <w:docPartObj>
        <w:docPartGallery w:val="Page Numbers (Bottom of Page)"/>
        <w:docPartUnique/>
      </w:docPartObj>
    </w:sdtPr>
    <w:sdtEndPr>
      <w:rPr>
        <w:noProof/>
      </w:rPr>
    </w:sdtEndPr>
    <w:sdtContent>
      <w:p w:rsidR="009102D1" w:rsidRPr="009102D1" w:rsidRDefault="009102D1" w:rsidP="009102D1">
        <w:pPr>
          <w:pStyle w:val="Default"/>
          <w:spacing w:before="60" w:after="60"/>
          <w:rPr>
            <w:sz w:val="20"/>
            <w:szCs w:val="20"/>
          </w:rPr>
        </w:pPr>
        <w:r w:rsidRPr="009102D1">
          <w:rPr>
            <w:sz w:val="20"/>
            <w:szCs w:val="20"/>
          </w:rPr>
          <w:t xml:space="preserve">   </w:t>
        </w:r>
        <w:r w:rsidR="004D0BF2">
          <w:rPr>
            <w:sz w:val="20"/>
            <w:szCs w:val="20"/>
          </w:rPr>
          <w:t>March</w:t>
        </w:r>
        <w:r w:rsidRPr="009102D1">
          <w:rPr>
            <w:sz w:val="20"/>
            <w:szCs w:val="20"/>
          </w:rPr>
          <w:t xml:space="preserve"> 2012 AC 43-16A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fldChar w:fldCharType="begin"/>
        </w:r>
        <w:r>
          <w:instrText xml:space="preserve"> PAGE   \* MERGEFORMAT </w:instrText>
        </w:r>
        <w:r>
          <w:fldChar w:fldCharType="separate"/>
        </w:r>
        <w:r w:rsidR="00556D3B">
          <w:rPr>
            <w:noProof/>
          </w:rPr>
          <w:t>1</w:t>
        </w:r>
        <w:r>
          <w:rPr>
            <w:noProof/>
          </w:rPr>
          <w:fldChar w:fldCharType="end"/>
        </w:r>
      </w:p>
    </w:sdtContent>
  </w:sdt>
  <w:p w:rsidR="009102D1" w:rsidRDefault="0091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368" w:rsidRDefault="00552368" w:rsidP="009102D1">
      <w:pPr>
        <w:spacing w:after="0" w:line="240" w:lineRule="auto"/>
      </w:pPr>
      <w:r>
        <w:separator/>
      </w:r>
    </w:p>
  </w:footnote>
  <w:footnote w:type="continuationSeparator" w:id="0">
    <w:p w:rsidR="00552368" w:rsidRDefault="00552368" w:rsidP="00910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2D1" w:rsidRPr="009102D1" w:rsidRDefault="00AC1576" w:rsidP="009102D1">
    <w:pPr>
      <w:pStyle w:val="ss-sub2"/>
      <w:spacing w:before="60" w:after="60"/>
      <w:rPr>
        <w:color w:val="000000"/>
        <w:sz w:val="22"/>
        <w:szCs w:val="22"/>
      </w:rPr>
    </w:pPr>
    <w:r>
      <w:rPr>
        <w:b/>
        <w:bCs/>
        <w:color w:val="000000"/>
        <w:sz w:val="22"/>
        <w:szCs w:val="22"/>
      </w:rPr>
      <w:t>Goodrich:  Starter/Generator; Improper Assembly, ATA 2435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4"/>
    <w:rsid w:val="00012FCB"/>
    <w:rsid w:val="00065FD2"/>
    <w:rsid w:val="0007768A"/>
    <w:rsid w:val="00096D7A"/>
    <w:rsid w:val="00156323"/>
    <w:rsid w:val="001B3D9F"/>
    <w:rsid w:val="00345AB9"/>
    <w:rsid w:val="003938DD"/>
    <w:rsid w:val="003B0717"/>
    <w:rsid w:val="003D5B9E"/>
    <w:rsid w:val="00400B9B"/>
    <w:rsid w:val="004974B4"/>
    <w:rsid w:val="004D0BF2"/>
    <w:rsid w:val="00552368"/>
    <w:rsid w:val="00556D3B"/>
    <w:rsid w:val="00645A88"/>
    <w:rsid w:val="00676988"/>
    <w:rsid w:val="006F2A46"/>
    <w:rsid w:val="00772894"/>
    <w:rsid w:val="007E714E"/>
    <w:rsid w:val="009102D1"/>
    <w:rsid w:val="009D00EE"/>
    <w:rsid w:val="009E0EF0"/>
    <w:rsid w:val="00AB14FA"/>
    <w:rsid w:val="00AC1576"/>
    <w:rsid w:val="00B3665D"/>
    <w:rsid w:val="00BC7256"/>
    <w:rsid w:val="00BE3CF1"/>
    <w:rsid w:val="00C56F8F"/>
    <w:rsid w:val="00CC45A4"/>
    <w:rsid w:val="00E84A14"/>
    <w:rsid w:val="00EB6207"/>
    <w:rsid w:val="00F6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5C17"/>
  <w15:chartTrackingRefBased/>
  <w15:docId w15:val="{B45D35ED-6D45-4FA2-ADFE-60F12B05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4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s-sub2">
    <w:name w:val="ss-sub2"/>
    <w:basedOn w:val="Default"/>
    <w:next w:val="Default"/>
    <w:uiPriority w:val="99"/>
    <w:rsid w:val="00E84A14"/>
    <w:rPr>
      <w:color w:val="auto"/>
    </w:rPr>
  </w:style>
  <w:style w:type="paragraph" w:styleId="ListParagraph">
    <w:name w:val="List Paragraph"/>
    <w:basedOn w:val="Normal"/>
    <w:uiPriority w:val="1"/>
    <w:qFormat/>
    <w:rsid w:val="00C56F8F"/>
    <w:pPr>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10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2D1"/>
  </w:style>
  <w:style w:type="paragraph" w:styleId="Footer">
    <w:name w:val="footer"/>
    <w:basedOn w:val="Normal"/>
    <w:link w:val="FooterChar"/>
    <w:uiPriority w:val="99"/>
    <w:unhideWhenUsed/>
    <w:rsid w:val="00910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Patricia CTR (FAA)</dc:creator>
  <cp:keywords/>
  <dc:description/>
  <cp:lastModifiedBy>Jones, Patricia CTR (FAA)</cp:lastModifiedBy>
  <cp:revision>5</cp:revision>
  <dcterms:created xsi:type="dcterms:W3CDTF">2017-11-28T20:30:00Z</dcterms:created>
  <dcterms:modified xsi:type="dcterms:W3CDTF">2017-11-28T20:33:00Z</dcterms:modified>
</cp:coreProperties>
</file>